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信息反馈表</w:t>
      </w:r>
      <w:r>
        <w:rPr>
          <w:rStyle w:val="5"/>
          <w:rFonts w:ascii="仿宋_GB2312" w:hAnsi="Microsoft YaHei UI" w:eastAsia="仿宋_GB2312" w:cs="仿宋_GB2312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7</w:t>
      </w:r>
      <w:r>
        <w:rPr>
          <w:rStyle w:val="5"/>
          <w:rFonts w:hint="eastAsia" w:ascii="仿宋_GB2312" w:hAnsi="Microsoft YaHei UI" w:eastAsia="仿宋_GB2312" w:cs="仿宋_GB2312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10</w:t>
      </w:r>
      <w:r>
        <w:rPr>
          <w:rStyle w:val="5"/>
          <w:rFonts w:hint="eastAsia" w:ascii="仿宋_GB2312" w:hAnsi="Microsoft YaHei UI" w:eastAsia="仿宋_GB2312" w:cs="仿宋_GB2312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日前上报）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市、区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人力资源社会保障厅（局）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   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75"/>
        <w:gridCol w:w="1316"/>
        <w:gridCol w:w="930"/>
        <w:gridCol w:w="1824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平台及数字资源选用情况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选用的线上培训平台机构名称</w:t>
            </w:r>
          </w:p>
        </w:tc>
        <w:tc>
          <w:tcPr>
            <w:tcW w:w="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选用的时间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选用的数字资源情况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课程数量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-12"/>
                <w:sz w:val="19"/>
                <w:szCs w:val="19"/>
                <w:bdr w:val="none" w:color="auto" w:sz="0" w:space="0"/>
              </w:rPr>
              <w:t>涉及职业（工种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-12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-12"/>
                <w:sz w:val="19"/>
                <w:szCs w:val="19"/>
                <w:bdr w:val="none" w:color="auto" w:sz="0" w:space="0"/>
              </w:rPr>
              <w:t>岗位）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课时数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线上培训服务质量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平台运行情况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平台访问量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截止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6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月底，平台总计访问量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，月均访问量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；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APP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总计下载量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，月均下载量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bdr w:val="none" w:color="auto" w:sz="0" w:space="0"/>
              </w:rPr>
              <w:t>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平台稳定性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（是否出现页面崩溃、响应速度慢等问题）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平台安全性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（是否出现网络安全、数据信息泄露等问题）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平台交互性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（界面设计是否友好、与学习者是否有良好交互）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数字资源使用情况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资源访问量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截止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6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月底，资源总计点击（观看）量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，月均点击（观看）量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u w:val="single"/>
                <w:bdr w:val="none" w:color="auto" w:sz="0" w:space="0"/>
              </w:rPr>
              <w:t>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资源内容丰富性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（能否满足培训需求，是否存在科学性错误）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资源形式多样性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（是否有多种形式的数字资源，如图文、声音、视频、动画、虚拟仿真等）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平台技术运用情况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实名制采取技术手段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（为确保培训实名制所采用的技术手段）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培训数据分析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（培训后，是否对培训数据进行大数据分析并形成报告，以促进培训质量的提升）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实名制管理情况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实名制注册学员数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培训数量（人次）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培训对象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（企业职工、就业重点群体、贫困劳动力和贫困家庭子女等）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培训类型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（就业技能培训、岗位技能培训、创业培训、通用职业素质培训、疫情防控等）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培训过程监管措施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(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如何实现培训过程监控，且可追溯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培训结果监管措施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4"/>
                <w:szCs w:val="14"/>
                <w:bdr w:val="none" w:color="auto" w:sz="0" w:space="0"/>
              </w:rPr>
              <w:t>（如何实现培训结果监管，且可追溯）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与当地补贴性培训实名制信息管理系统衔接情况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Style w:val="5"/>
                <w:rFonts w:hint="eastAsia" w:ascii="仿宋_GB2312" w:hAnsi="Microsoft YaHei UI" w:eastAsia="仿宋_GB2312" w:cs="仿宋_GB2312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对职业技能提升行动线上培训管理监督工作意见建议、典型案例及创新举措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84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（盖章）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日期：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84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uto"/>
              <w:ind w:left="0" w:right="0" w:firstLine="0"/>
              <w:jc w:val="left"/>
            </w:pP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联系人：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                 </w:t>
            </w:r>
            <w:r>
              <w:rPr>
                <w:rFonts w:hint="eastAsia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联系电话：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7"/>
                <w:sz w:val="19"/>
                <w:szCs w:val="19"/>
                <w:bdr w:val="none" w:color="auto" w:sz="0" w:space="0"/>
              </w:rPr>
              <w:t>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注：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报告期为各地开始试用线上平台至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       2.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请将信息反馈表电子版发送至邮箱：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qianchunlan@cettic.gov.cn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，纸质版盖章后邮寄至中国就业培训技术指导中心信息远程处（北京市朝阳区育慧路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号）。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50F7"/>
    <w:rsid w:val="70F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2020-03-01T07:34:00Z</dcterms:created>
  <dc:creator>lenovo</dc:creator>
  <cp:lastModifiedBy>lenovo</cp:lastModifiedBy>
  <dcterms:modified xsi:type="dcterms:W3CDTF">2020-03-01T07:35:22Z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